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800"/>
      </w:pPr>
      <w:r>
        <w:rPr>
          <w:rFonts w:ascii="Calibri" w:cs="Calibri" w:eastAsia="Calibri" w:hAnsi="Calibri"/>
          <w:b/>
          <w:bCs/>
          <w:color w:val="666666"/>
          <w:spacing w:val="40"/>
          <w:sz w:val="22"/>
          <w:szCs w:val="22"/>
        </w:rPr>
        <w:t xml:space="preserve">PLANTILLA GRATUITA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F3A5F"/>
          <w:sz w:val="56"/>
          <w:szCs w:val="56"/>
        </w:rPr>
        <w:t xml:space="preserve">Expediente digital de cliente (KYC)</w:t>
      </w:r>
    </w:p>
    <w:p>
      <w:pPr>
        <w:pBdr>
          <w:bottom w:val="single" w:color="1F3A5F" w:sz="12" w:space="6"/>
        </w:pBdr>
        <w:spacing w:after="300"/>
      </w:pPr>
      <w:r>
        <w:rPr>
          <w:rFonts w:ascii="Calibri" w:cs="Calibri" w:eastAsia="Calibri" w:hAnsi="Calibri"/>
          <w:color w:val="666666"/>
          <w:sz w:val="28"/>
          <w:szCs w:val="28"/>
        </w:rPr>
        <w:t xml:space="preserve">Para financieras, microfinancieras y negocios que otorgan crédito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Esta plantilla te ayuda a integrar, en un solo formato, la información que necesitas conocer de cada cliente antes de otorgarle un crédito: datos generales, domicilio, referencias, avales, documentos de soporte y los elementos de conocimiento del cliente que exige la reforma antilavado (beneficiario controlador, personas políticamente expuestas, perfil transaccional y clasificación de riesgo).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Cómo usarla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Imprime o llena una copia por cada cliente. Puedes eliminar las secciones que no apliquen a tu operación.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Usa las Partes 2 a 4 según el cliente sea persona física o persona moral.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Las Partes 5 a 9 aplican a todos los clientes.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Actualiza el expediente cuando cambie algo relevante y registra cada cambio en la bitácora final.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Qué considera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Conservación de la información: la reforma a la Ley Antilavado amplió a diez años la conservación de expedientes, por lo que conviene guardar todo el soporte por ese plazo.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Reevaluación: la clasificación de riesgo del cliente debe revisarse al menos cada seis meses.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Fechas relevantes: el Acuerdo 115/2026 entra en vigor el 30 de noviembre de 2026 y varias obligaciones (evaluación de riesgos, Manual de Políticas Internas, clasificación y conocimiento del cliente) deben estar listas para el 1 de marzo de 2027.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Aviso: esta plantilla es una guía de referencia y no constituye asesoría legal. Cada negocio debe definir sus propios criterios, metodología y políticas con su responsable de cumplimiento o un asesor especializado, y validar en la normativa vigente qué obligaciones le aplican según su actividad.</w:t>
      </w:r>
    </w:p>
    <w:p>
      <w:r>
        <w:br w:type="page"/>
      </w:r>
    </w:p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1. Datos de la solicitud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Folio de expediente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apertura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Sucursal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Ejecutivo responsable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Producto financiero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Monto solicitado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Plazo / número de pagos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Frecuencia de pago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Grupo / segmento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00"/>
      </w:pPr>
      <w:r>
        <w:rPr>
          <w:rFonts w:ascii="Calibri" w:cs="Calibri" w:eastAsia="Calibri" w:hAnsi="Calibri"/>
          <w:sz w:val="21"/>
          <w:szCs w:val="21"/>
        </w:rPr>
        <w:t xml:space="preserve">Tipo de cliente:   ☐ Persona física     ☐ Persona moral</w:t>
      </w:r>
    </w:p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2. Persona física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2.1 Datos generales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Nombre(s)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Apellido paterno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Apellido materno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nacimiento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Lugar de nacimiento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Nacionalidad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CURP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RFC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Estado civil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Régimen patrimonial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Teléfono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Correo electrónico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Identificación oficial (tipo y folio)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Vigencia de la identificación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2.2 Domicilio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Calle y número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Colonia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Código postal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Municipio / alcaldía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Estado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Tipo de vivienda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Antigüedad en el domicilio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Referencias del domicilio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2.3 Actividad económica y origen de los recursos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Ocupación o actividad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Antigüedad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Empresa o negocio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Giro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Ingreso mensual estimado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Fuente principal de ingresos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Domicilio del negocio o empleo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3. Persona moral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3.1 Datos de la empresa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Denominación o razón social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RFC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constitución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Giro o actividad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Nacionalidad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Antigüedad operando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Domicilio fiscal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Datos de inscripción en el Registro Público (folio)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Teléfono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Correo electrónico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3.2 Representante legal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completo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CURP / RFC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Identificación oficial (tipo y folio)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Vigencia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Datos del poder (notaría, número, fecha)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4. Beneficiario controlador (personas morales)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Identifica a la persona física que en última instancia posee o controla la empresa. Sigue el orden y detente en el primer criterio que aplique. Documenta cómo llegaste al resultado, no solo el resultado.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1) ¿Existe una persona física o grupo que directa o indirectamente posea el 25% o más del capital social?   ☐ Sí   ☐ No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2) Si no, ¿quién ejerce el control por otros medios (estrategia, toma de decisiones, políticas principales)?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3) Si tampoco, ¿quién ocupa el cargo de mayor jerarquía administrativa o de alta dirección?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400"/>
        <w:gridCol w:w="1600"/>
        <w:gridCol w:w="1600"/>
        <w:gridCol w:w="1580"/>
      </w:tblGrid>
      <w:tr>
        <w:trPr>
          <w:tblHeader/>
        </w:trP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 completo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CURP / RFC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% de capital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 (1, 2 o 3)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Identificación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Procedimiento seguido y observaciones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Para fideicomisos, identifica a la persona física que en última instancia ejerza control efectivo (fiduciarios, fideicomitentes, fideicomisarios o miembros del comité técnico).</w:t>
      </w:r>
    </w:p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5. Persona políticamente expuesta (PEP)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El cliente, su representante o su beneficiario controlador: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900"/>
        <w:gridCol w:w="900"/>
        <w:gridCol w:w="1980"/>
      </w:tblGrid>
      <w:tr>
        <w:trPr>
          <w:tblHeader/>
        </w:trPr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Pregunta</w:t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Sí</w:t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19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¿Desempeña o ha desempeñado (en el último año) un cargo público relevante, nacional o extranjero?</w:t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¿Es cónyuge, concubino(a) o pariente hasta segundo grado de una persona con ese cargo?</w:t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¿Es socio o asociado de una persona con ese cargo, con vínculos patrimoniales?</w:t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de la persona vinculada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Cargo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Institución o dependencia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Periodo en el cargo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Parentesco o vínculo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Si la respuesta es afirmativa, considera medidas reforzadas conforme a las políticas internas de tu negocio (por ejemplo, aprobación de un directivo).</w:t>
      </w:r>
    </w:p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6. Referencias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6.1 Referencias personales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000"/>
        <w:gridCol w:w="2100"/>
        <w:gridCol w:w="1600"/>
        <w:gridCol w:w="1680"/>
      </w:tblGrid>
      <w:tr>
        <w:trPr>
          <w:tblHeader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Parentesco / relación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Domicilio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Teléfono</w:t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Tiempo de conocerlo</w:t>
            </w:r>
          </w:p>
        </w:tc>
      </w:tr>
      <w:t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6.2 Referencias comerciales o bancarias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400"/>
        <w:gridCol w:w="2000"/>
        <w:gridCol w:w="1500"/>
        <w:gridCol w:w="1480"/>
      </w:tblGrid>
      <w:tr>
        <w:trPr>
          <w:tblHeader/>
        </w:trP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Institución o proveedor</w:t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 de relación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Contacto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Teléfono</w:t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Antigüedad</w:t>
            </w:r>
          </w:p>
        </w:tc>
      </w:tr>
      <w:t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7. Avales, garantías y seguros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300"/>
        <w:gridCol w:w="2100"/>
        <w:gridCol w:w="1500"/>
        <w:gridCol w:w="1680"/>
      </w:tblGrid>
      <w:tr>
        <w:trPr>
          <w:tblHeader/>
        </w:trP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Nombre del aval / descripción de la garantía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Tipo (aval, prenda, hipoteca, otro)</w:t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Identificación o folio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Valor estimado</w:t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Depósito o retención en garantía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 aplica contra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Seguro asociado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Aseguradora / póliza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8. Perfil transaccional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Describe lo que se espera de la relación con el cliente. Sirve de base para detectar operaciones que se aparten de lo esperado.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Propósito del crédito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Naturaleza de la relación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Monto máximo mensual que estima operar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Frecuencia estimada de pagos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Número estimado de operaciones al mes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 de pago prevista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Origen de los recursos con que pagará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Destino de los recursos del crédito</w:t>
            </w:r>
          </w:p>
        </w:tc>
        <w:tc>
          <w:tcPr>
            <w:tcW w:type="dxa" w:w="7980"/>
            <w:gridSpan w:val="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00"/>
      </w:pPr>
      <w:r>
        <w:rPr>
          <w:rFonts w:ascii="Calibri" w:cs="Calibri" w:eastAsia="Calibri" w:hAnsi="Calibri"/>
          <w:sz w:val="21"/>
          <w:szCs w:val="21"/>
        </w:rPr>
        <w:t xml:space="preserve">Forma de pago:   ☐ Transferencia / banco     ☐ Efectivo     ☐ Otra: __________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Revisa el perfil al menos cada seis meses o cuando cambien las circunstancias del cliente.</w:t>
      </w:r>
    </w:p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9. Clasificación de riesgo y consulta en listas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9.1 Factores de riesgo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Matriz de ejemplo. Adáptala a la metodología de riesgos definida por tu negocio.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300"/>
        <w:gridCol w:w="1500"/>
        <w:gridCol w:w="1500"/>
        <w:gridCol w:w="1580"/>
      </w:tblGrid>
      <w:tr>
        <w:trPr>
          <w:tblHeader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Factor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Dato del cliente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Bajo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Medio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Alto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Tipo de persona y giro o actividad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Nacionalidad y país de residencia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Zona geográfica de operación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Origen de los recursos e ingresos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Monto y frecuencia de las operaciones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Forma de pago (banco / efectivo)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Condición de PEP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Antecedentes o consulta en listas</w:t>
            </w:r>
          </w:p>
        </w:tc>
        <w:tc>
          <w:tcPr>
            <w:tcW w:type="dxa" w:w="23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940"/>
        <w:gridCol w:w="2100"/>
        <w:gridCol w:w="2940"/>
      </w:tblGrid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Clasificación final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clasificación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Próxima reevaluación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Aprobó</w:t>
            </w:r>
          </w:p>
        </w:tc>
        <w:tc>
          <w:tcPr>
            <w:tcW w:type="dxa" w:w="294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00"/>
      </w:pPr>
      <w:r>
        <w:rPr>
          <w:rFonts w:ascii="Calibri" w:cs="Calibri" w:eastAsia="Calibri" w:hAnsi="Calibri"/>
          <w:sz w:val="21"/>
          <w:szCs w:val="21"/>
        </w:rPr>
        <w:t xml:space="preserve">Clasificación final:   ☐ Bajo     ☐ Medio     ☐ Alto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9.2 Consulta en listas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1700"/>
        <w:gridCol w:w="1900"/>
        <w:gridCol w:w="1700"/>
        <w:gridCol w:w="1680"/>
      </w:tblGrid>
      <w:tr>
        <w:trPr>
          <w:tblHeader/>
        </w:trPr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Lista consultada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Persona consultada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Resultado</w:t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</w:tr>
      <w:tr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Listas de sanciones internacionales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Listas de personas bloqueadas (nacionales)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Consulta de personas políticamente expuestas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Otra: ________________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10. Checklist de documentos de soporte</w:t>
      </w:r>
    </w:p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10.1 Persona física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000"/>
        <w:gridCol w:w="1500"/>
        <w:gridCol w:w="1500"/>
        <w:gridCol w:w="1480"/>
      </w:tblGrid>
      <w:tr>
        <w:trPr>
          <w:tblHeader/>
        </w:trP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Documento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Recibido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Vigencia</w:t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Identificación oficial vigente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CURP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Constancia de situación fiscal / RFC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Comprobante de domicilio (no mayor a 3 meses)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Comprobante de ingresos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Documentos del aval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Otro: ________________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16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10.2 Persona moral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000"/>
        <w:gridCol w:w="1500"/>
        <w:gridCol w:w="1500"/>
        <w:gridCol w:w="1480"/>
      </w:tblGrid>
      <w:tr>
        <w:trPr>
          <w:tblHeader/>
        </w:trP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Documento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Recibido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Vigencia</w:t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Observaciones</w:t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Acta constitutiva y modificaciones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Poder del representante legal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Identificación oficial del representante legal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Constancia de situación fiscal / RFC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Comprobante de domicilio fiscal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Estados financieros / declaraciones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Documentos que acrediten beneficiario controlador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Otro: ________________</w:t>
            </w:r>
          </w:p>
        </w:tc>
        <w:tc>
          <w:tcPr>
            <w:tcW w:type="dxa" w:w="1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11. Declaración y firmas</w:t>
      </w:r>
    </w:p>
    <w:p>
      <w:pPr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El cliente declara bajo protesta de decir verdad que la información y los documentos proporcionados son verídicos y se compromete a informar cualquier cambio. Asimismo, otorga su consentimiento para el tratamiento de sus datos personales conforme al aviso de privacidad correspondiente.</w:t>
      </w:r>
    </w:p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rHeight w:val="900" w:hRule="atLeast"/>
        </w:trPr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Firma del cliente o representante legal</w:t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Ejecutivo que integró el expediente</w:t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EF2F7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Responsable de cumplimiento / autorización</w:t>
            </w:r>
          </w:p>
        </w:tc>
      </w:tr>
      <w:tr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Fecha:</w:t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Fecha:</w:t>
            </w:r>
          </w:p>
        </w:tc>
        <w:tc>
          <w:tcPr>
            <w:tcW w:type="dxa" w:w="33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Fecha:</w:t>
            </w:r>
          </w:p>
        </w:tc>
      </w:tr>
    </w:tbl>
    <w:p>
      <w:pPr>
        <w:pStyle w:val="Heading1"/>
        <w:shd w:fill="1F3A5F" w:color="auto" w:val="clear"/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PARTE 12. Bitácora de actualizaciones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00"/>
        <w:gridCol w:w="2200"/>
        <w:gridCol w:w="2180"/>
      </w:tblGrid>
      <w:tr>
        <w:trPr>
          <w:tblHeader/>
        </w:trP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Cambio o actualización</w:t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Documento de soporte</w:t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A5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8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Conserva este expediente y su bitácora por el plazo que establezca la normativa aplicable (la reforma contempla hasta diez años).</w:t>
      </w:r>
    </w:p>
    <w:p>
      <w:pPr>
        <w:pBdr>
          <w:left w:val="single" w:color="1F3A5F" w:sz="24" w:space="8"/>
        </w:pBdr>
        <w:shd w:fill="EEF2F7" w:color="auto" w:val="clear"/>
        <w:spacing w:after="100" w:before="4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¿Te cansaste de llenar expedientes a mano?</w:t>
      </w:r>
    </w:p>
    <w:p>
      <w:pPr>
        <w:pBdr>
          <w:left w:val="single" w:color="1F3A5F" w:sz="24" w:space="8"/>
        </w:pBdr>
        <w:shd w:fill="EEF2F7" w:color="auto" w:val="clear"/>
        <w:spacing w:after="100"/>
      </w:pPr>
      <w:r>
        <w:rPr>
          <w:rFonts w:ascii="Calibri" w:cs="Calibri" w:eastAsia="Calibri" w:hAnsi="Calibri"/>
          <w:sz w:val="21"/>
          <w:szCs w:val="21"/>
        </w:rPr>
        <w:t xml:space="preserve">En Evidence ERP, el módulo Core Bancario mantiene el expediente digital de cada cliente con secciones configurables para domicilio, referencias, avales y documentación de soporte, conectado con la simulación, los documentos del crédito, la cobranza y el seguimiento de cartera en un mismo sistema.</w:t>
      </w:r>
    </w:p>
    <w:p>
      <w:pPr>
        <w:pBdr>
          <w:left w:val="single" w:color="1F3A5F" w:sz="24" w:space="8"/>
        </w:pBdr>
        <w:shd w:fill="EEF2F7" w:color="auto" w:val="clear"/>
        <w:spacing w:after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Solicita una demo: </w:t>
      </w:r>
      <w:hyperlink r:id="rIdDemoLink" w:history="1">
        <w:r>
          <w:rPr>
            <w:rFonts w:ascii="Calibri" w:cs="Calibri" w:eastAsia="Calibri" w:hAnsi="Calibri"/>
            <w:b/>
            <w:bCs/>
            <w:color w:val="0563C1"/>
            <w:u w:val="single"/>
            <w:sz w:val="21"/>
            <w:szCs w:val="21"/>
          </w:rPr>
          <w:t>evidencetec.com/core-bancario</w:t>
        </w:r>
      </w:hyperlink>
    </w:p>
    <w:sectPr>
      <w:headerReference w:type="default" r:id="rId7"/>
      <w:footerReference w:type="default" r:id="rId8"/>
      <w:pgSz w:w="12240" w:h="15840" w:orient="portrait"/>
      <w:pgMar w:top="12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7"/>
        <w:szCs w:val="17"/>
      </w:rPr>
      <w:t xml:space="preserve">Plantilla de referencia, no constituye asesoría legal  ·  Página </w:t>
    </w:r>
    <w:r>
      <w:rPr>
        <w:rFonts w:ascii="Calibri" w:cs="Calibri" w:eastAsia="Calibri" w:hAnsi="Calibri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7"/>
        <w:szCs w:val="17"/>
      </w:rPr>
      <w:t xml:space="preserve">Expediente digital de cliente (KYC)  |  Evidence ERP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DemoLink" Type="http://schemas.openxmlformats.org/officeDocument/2006/relationships/hyperlink" Target="https://evidencetec.com/core-bancario?utm_source=plantilla-kyc&amp;utm_medium=documento&amp;utm_campaign=recursos-conocimiento#formulario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2026-09-24T16:03:37.183Z</dcterms:created>
  <dcterms:modified xsi:type="dcterms:W3CDTF">2026-09-24T16:03:37.184Z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