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900"/>
      </w:pPr>
      <w:r>
        <w:rPr>
          <w:rFonts w:ascii="Calibri" w:cs="Calibri" w:eastAsia="Calibri" w:hAnsi="Calibri"/>
          <w:b/>
          <w:bCs/>
          <w:color w:val="666666"/>
          <w:spacing w:val="40"/>
          <w:sz w:val="22"/>
          <w:szCs w:val="22"/>
        </w:rPr>
        <w:t xml:space="preserve">GUÍA PRÁCTICA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F3A5F"/>
          <w:sz w:val="56"/>
          <w:szCs w:val="56"/>
        </w:rPr>
        <w:t xml:space="preserve">Indicadores de cartera para financieras</w:t>
      </w:r>
    </w:p>
    <w:p>
      <w:pPr>
        <w:pBdr>
          <w:bottom w:val="single" w:color="1F3A5F" w:sz="12" w:space="6"/>
        </w:pBdr>
        <w:spacing w:after="300"/>
      </w:pPr>
      <w:r>
        <w:rPr>
          <w:rFonts w:ascii="Calibri" w:cs="Calibri" w:eastAsia="Calibri" w:hAnsi="Calibri"/>
          <w:color w:val="666666"/>
          <w:sz w:val="28"/>
          <w:szCs w:val="28"/>
        </w:rPr>
        <w:t xml:space="preserve">Qué medir, cómo calcularlo y con qué frecuencia revisarlo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Una financiera puede crecer en colocación y aun así perder dinero si no vigila la calidad de su cartera. Esta guía reúne los indicadores esenciales para financieras, microfinancieras y negocios con crédito propio, con su fórmula, una forma sencilla de interpretarlos y un tablero mínimo para dar seguimiento.</w:t>
      </w:r>
    </w:p>
    <w:p>
      <w:pPr>
        <w:pStyle w:val="Heading2"/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Qué encontrarás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Cinco bloques de indicadores: composición, calidad, cobranza, liquidez y rentabilidad, y control.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Fórmulas y un ejemplo con números para que puedas replicarlo.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 tablero mínimo con la frecuencia recomendada de revisión.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Errores comunes y un checklist para empezar esta semana.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Nota: las definiciones son de referencia general y pueden variar según tu política interna, tu tipo de institución y la normativa que te aplique. Los umbrales de los ejemplos son ilustrativos; define los tuyos según tu producto y tu apetito de riesgo.</w:t>
      </w:r>
    </w:p>
    <w:p>
      <w:r>
        <w:br w:type="page"/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1. Antes de calcular: define tus términos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El error más común no es calcular mal, sino que cada área entienda algo distinto por "cartera vencida". Antes de medir, acuerden por escrito estas definiciones: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rPr>
          <w:tblHeader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Término</w:t>
            </w:r>
          </w:p>
        </w:tc>
        <w:tc>
          <w:tcPr>
            <w:tcW w:type="dxa" w:w="7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Definición sugerida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total</w:t>
            </w:r>
          </w:p>
        </w:tc>
        <w:tc>
          <w:tcPr>
            <w:tcW w:type="dxa" w:w="7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de capital pendiente de cobro de todos los créditos otorgados y no saldados a la fecha de corte.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vigente</w:t>
            </w:r>
          </w:p>
        </w:tc>
        <w:tc>
          <w:tcPr>
            <w:tcW w:type="dxa" w:w="7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de los créditos cuyas parcialidades están al corriente.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vencida</w:t>
            </w:r>
          </w:p>
        </w:tc>
        <w:tc>
          <w:tcPr>
            <w:tcW w:type="dxa" w:w="7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de los créditos que tienen al menos una parcialidad vencida (sin pagar después de su fecha límite).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Días de atraso</w:t>
            </w:r>
          </w:p>
        </w:tc>
        <w:tc>
          <w:tcPr>
            <w:tcW w:type="dxa" w:w="7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Días transcurridos desde la fecha límite de la parcialidad vencida más antigua.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de corte</w:t>
            </w:r>
          </w:p>
        </w:tc>
        <w:tc>
          <w:tcPr>
            <w:tcW w:type="dxa" w:w="7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Día en que se toma la foto de la cartera. Usa siempre la misma (por ejemplo, el último día del mes).</w:t>
            </w:r>
          </w:p>
        </w:tc>
      </w:tr>
    </w:tbl>
    <w:p>
      <w:pPr>
        <w:spacing w:after="60"/>
      </w:pP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Cada indicador debe calcularse con la misma definición mes con mes; de lo contrario, las comparaciones no sirven.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2. Los indicadores esenciales</w:t>
      </w:r>
    </w:p>
    <w:p>
      <w:pPr>
        <w:pStyle w:val="Heading2"/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Bloque A. Composición de la cartera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Responde a la pregunta: ¿cuánto tengo prestado y dónde está concentrado?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00"/>
        <w:gridCol w:w="3100"/>
        <w:gridCol w:w="2580"/>
      </w:tblGrid>
      <w:tr>
        <w:trPr>
          <w:tblHeader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mide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Fórmula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Cómo leerlo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total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tamaño de tu portafolio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Suma del saldo de capital de todos los créditos activos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Base de casi todos los demás indicadores. Sigue su tendencia mes a mes.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Saldo promedio por crédito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Qué tan grande es un crédito típico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Cartera total ÷ número de créditos activos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 sube sin control, aumenta el impacto de cada incumplimiento.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Concentración por cliente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Dependencia de pocos acreditados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de los 10 clientes más grandes ÷ cartera total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mayor concentración, más riesgo de que un solo impago te afecte.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Distribución por producto o segmento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Dónde está colocado el dinero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por producto (o grupo) ÷ cartera total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Permite aplicar políticas diferenciadas y detectar segmentos problemáticos.</w:t>
            </w:r>
          </w:p>
        </w:tc>
      </w:tr>
    </w:tbl>
    <w:p>
      <w:pPr>
        <w:pStyle w:val="Heading2"/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Bloque B. Calidad de la cartera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Responde a la pregunta: ¿qué parte de lo que presté está en problemas?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00"/>
        <w:gridCol w:w="3100"/>
        <w:gridCol w:w="2580"/>
      </w:tblGrid>
      <w:tr>
        <w:trPr>
          <w:tblHeader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mide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Fórmula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Cómo leerlo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vencida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Monto en incumplimiento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de créditos con al menos una parcialidad vencida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 el primer termómetro. Sola no dice mucho: compárala contra la cartera total.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Índice de morosidad (IMOR)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Peso de la cartera vencida en el total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Cartera vencida ÷ cartera total × 100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Ideal para comparar periodos y sucursales. Define un umbral de alerta propio.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en riesgo (PAR) a 30, 60 y 90 días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Qué parte del portafolio tiene atrasos por encima de cada plazo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de créditos con más de 30 (60, 90) días de atraso ÷ cartera total × 100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Muestra qué tan grave es la mora. El PAR a 30 días es alerta temprana; a 90 días suele indicar pérdida probable.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por antigüedad de atraso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Cómo se distribuye la mora por rangos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vencido en cada rango (1-30, 31-60, 61-90, más de 90 días)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 crece el rango de 1 a 30 días, hoy es cuando conviene actuar; recuperar es más fácil cuanto más temprano.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Castigos y recuperaciones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Créditos dados por pérdida y lo recuperado después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Monto castigado en el periodo ÷ cartera promedio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Indica la pérdida real. Registra siempre lo recuperado después del castigo.</w:t>
            </w:r>
          </w:p>
        </w:tc>
      </w:tr>
    </w:tbl>
    <w:p>
      <w:pPr>
        <w:pStyle w:val="Heading2"/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Bloque C. Cobranza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Responde a la pregunta: ¿qué tan bien estoy cobrando?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00"/>
        <w:gridCol w:w="3100"/>
        <w:gridCol w:w="2580"/>
      </w:tblGrid>
      <w:tr>
        <w:trPr>
          <w:tblHeader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mide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Fórmula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Cómo leerlo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Eficiencia de cobranza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Qué proporción de lo exigible se cobró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Monto cobrado en el periodo ÷ monto exigible en el periodo × 100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 baja, la mora del siguiente mes va a subir. Es un indicador adelantado.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Tasa de recuperación de cartera vencida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Cuánto de la mora logras revertir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Monto recuperado de créditos vencidos ÷ cartera vencida al inicio del periodo × 100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Mide la efectividad del esfuerzo de cobranza sobre la mora existente.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Cobranza por gestor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Desempeño individual y por zona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Monto cobrado por gestor ÷ monto asignado al gestor × 100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Ayuda a repartir cartera, detectar buenas prácticas y ajustar rutas o metas.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Promedio de días de atraso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Qué tan tarde pagan los clientes que se atrasan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Suma de días de atraso ÷ número de parcialidades atrasadas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 sube, el problema se está volviendo crónico.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Interés moratorio generado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Costo de la mora para el cliente e ingreso potencial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Suma del interés moratorio acumulado sobre parcialidades vencidas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Debe poder mostrarse de forma transparente junto con la parcialidad vencida al cobrar.</w:t>
            </w:r>
          </w:p>
        </w:tc>
      </w:tr>
    </w:tbl>
    <w:p>
      <w:pPr>
        <w:pStyle w:val="Heading2"/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Bloque D. Liquidez y rentabilidad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Responde a la pregunta: ¿el negocio genera el efectivo y el rendimiento que necesita?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00"/>
        <w:gridCol w:w="3100"/>
        <w:gridCol w:w="2580"/>
      </w:tblGrid>
      <w:tr>
        <w:trPr>
          <w:tblHeader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mide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Fórmula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Cómo leerlo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Colocación del periodo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Cuánto dinero nuevo se prestó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Suma de los desembolsos del periodo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Compárala con la cobranza: si prestas más de lo que cobras, necesitas fondeo.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Flujo de efectivo de la cartera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Entradas menos salidas por crédito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Cobranza del periodo − desembolsos del periodo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 flujo negativo sostenido exige capital o financiamiento adicional.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Efectivo en caja vs. depositado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Cuánto efectivo cobrado sigue sin depositarse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de caja chica ÷ límite máximo definido de la caja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Controla riesgo de manejo de efectivo. Vigila que no se acumule más allá del máximo.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Rendimiento de la cartera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Ingreso por intereses frente al portafolio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Ingresos por intereses del periodo ÷ cartera promedio × 100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Debe cubrir costo de fondeo, pérdidas por incobrabilidad y gastos de operación.</w:t>
            </w:r>
          </w:p>
        </w:tc>
      </w:tr>
    </w:tbl>
    <w:p>
      <w:pPr>
        <w:pStyle w:val="Heading2"/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Bloque E. Control interno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Responde a la pregunta: ¿hay movimientos que no encajan con lo esperado?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00"/>
        <w:gridCol w:w="3100"/>
        <w:gridCol w:w="2580"/>
      </w:tblGrid>
      <w:tr>
        <w:trPr>
          <w:tblHeader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mide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Fórmula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Cómo leerlo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Pagos con monto atípico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Cobros muy superiores a lo normal para el crédito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Número de cobros que superan un porcentaje definido del crédito ÷ total de cobros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Revisa cada caso: puede ser un pago anticipado legítimo o una operación que merezca atención.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por grupo y estatus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Comportamiento por segmento de clientes</w:t>
            </w:r>
          </w:p>
        </w:tc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IMOR y PAR calculados por grupo o estatus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Permite políticas diferenciadas y seguimiento de riesgo por segmento.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3. Ejemplo práctico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Supón una financiera con estos datos al cierre de mes (cifras ilustrativas):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Dato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Monto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total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$10,000,000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Vencida de 1 a 30 días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$400,000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Vencida de 31 a 60 días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$200,000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Vencida de 61 a 90 días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$120,000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Vencida a más de 90 días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$80,000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Monto exigible en el mes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$1,500,000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Monto cobrado en el mes</w:t>
            </w:r>
          </w:p>
        </w:tc>
        <w:tc>
          <w:tcPr>
            <w:tcW w:type="dxa" w:w="50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$1,320,000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400"/>
        <w:gridCol w:w="3080"/>
      </w:tblGrid>
      <w:tr>
        <w:trPr>
          <w:tblHeader/>
        </w:trPr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3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Cálculo</w:t>
            </w:r>
          </w:p>
        </w:tc>
        <w:tc>
          <w:tcPr>
            <w:tcW w:type="dxa" w:w="30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Resultado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Cartera vencida</w:t>
            </w:r>
          </w:p>
        </w:tc>
        <w:tc>
          <w:tcPr>
            <w:tcW w:type="dxa" w:w="3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400,000 + 200,000 + 120,000 + 80,000</w:t>
            </w:r>
          </w:p>
        </w:tc>
        <w:tc>
          <w:tcPr>
            <w:tcW w:type="dxa" w:w="30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$800,000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IMOR</w:t>
            </w:r>
          </w:p>
        </w:tc>
        <w:tc>
          <w:tcPr>
            <w:tcW w:type="dxa" w:w="3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800,000 ÷ 10,000,000</w:t>
            </w:r>
          </w:p>
        </w:tc>
        <w:tc>
          <w:tcPr>
            <w:tcW w:type="dxa" w:w="30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8.0%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 a 30 días</w:t>
            </w:r>
          </w:p>
        </w:tc>
        <w:tc>
          <w:tcPr>
            <w:tcW w:type="dxa" w:w="3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(200,000 + 120,000 + 80,000) ÷ 10,000,000</w:t>
            </w:r>
          </w:p>
        </w:tc>
        <w:tc>
          <w:tcPr>
            <w:tcW w:type="dxa" w:w="30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4.0%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 a 90 días</w:t>
            </w:r>
          </w:p>
        </w:tc>
        <w:tc>
          <w:tcPr>
            <w:tcW w:type="dxa" w:w="3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80,000 ÷ 10,000,000</w:t>
            </w:r>
          </w:p>
        </w:tc>
        <w:tc>
          <w:tcPr>
            <w:tcW w:type="dxa" w:w="30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0.8%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Eficiencia de cobranza</w:t>
            </w:r>
          </w:p>
        </w:tc>
        <w:tc>
          <w:tcPr>
            <w:tcW w:type="dxa" w:w="3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1,320,000 ÷ 1,500,000</w:t>
            </w:r>
          </w:p>
        </w:tc>
        <w:tc>
          <w:tcPr>
            <w:tcW w:type="dxa" w:w="30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88.0%</w:t>
            </w:r>
          </w:p>
        </w:tc>
      </w:tr>
    </w:tbl>
    <w:p>
      <w:pPr>
        <w:spacing w:after="60"/>
      </w:pP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Lectura: la mora total es de 8%, pero la mayor parte (la mitad de lo vencido) está en el rango de 1 a 30 días. Es la zona donde la gestión de cobranza es más efectiva; una eficiencia de 88% indica que hay margen para mejorar antes de que ese saldo pase a rangos más difíciles de recuperar.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En este ejemplo el PAR a 30 días considera los saldos con más de 30 días de atraso (rangos de 31 en adelante).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4. Tablero mínimo recomendado</w:t>
      </w:r>
    </w:p>
    <w:p>
      <w:pPr>
        <w:spacing w:after="110"/>
      </w:pPr>
      <w:r>
        <w:rPr>
          <w:rFonts w:ascii="Calibri" w:cs="Calibri" w:eastAsia="Calibri" w:hAnsi="Calibri"/>
          <w:sz w:val="22"/>
          <w:szCs w:val="22"/>
        </w:rPr>
        <w:t xml:space="preserve">Si solo puedes empezar con pocos indicadores, estos diez cubren lo esencial. La frecuencia sugerida es de referencia.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200"/>
        <w:gridCol w:w="2000"/>
        <w:gridCol w:w="2580"/>
      </w:tblGrid>
      <w:tr>
        <w:trPr>
          <w:tblHeader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Frecuencia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Responsable sugerido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Umbral de alerta (define el tuyo)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Cobranza del día vs. exigible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Diaria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Cobranza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Cartera vencida por rango de atraso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Semanal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Cobranza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Eficiencia de cobranza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Semanal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Cobranza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Cobranza por gestor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Semanal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Jefe de cobranza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Efectivo en caja chica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Diaria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 de caja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IMOR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Mensual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Dirección / Finanzas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 a 30 y 90 días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Mensual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Dirección / Finanzas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Flujo de efectivo de la cartera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Mensual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Finanzas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Concentración por cliente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Mensual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Dirección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Pagos con monto atípico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Mensual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Control interno / Cumplimiento</w:t>
            </w:r>
          </w:p>
        </w:tc>
        <w:tc>
          <w:tcPr>
            <w:tcW w:type="dxa" w:w="2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Tip: llena la columna de umbrales con tu equipo. Un indicador sin umbral no genera decisiones.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5. Errores comunes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Mirar solo la cartera vencida en pesos. </w:t>
      </w:r>
      <w:r>
        <w:rPr>
          <w:rFonts w:ascii="Calibri" w:cs="Calibri" w:eastAsia="Calibri" w:hAnsi="Calibri"/>
          <w:sz w:val="22"/>
          <w:szCs w:val="22"/>
        </w:rPr>
        <w:t xml:space="preserve">Sin compararla con la cartera total y por rangos de atraso, no se ve si el problema crece.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Cambiar la definición cada mes. </w:t>
      </w:r>
      <w:r>
        <w:rPr>
          <w:rFonts w:ascii="Calibri" w:cs="Calibri" w:eastAsia="Calibri" w:hAnsi="Calibri"/>
          <w:sz w:val="22"/>
          <w:szCs w:val="22"/>
        </w:rPr>
        <w:t xml:space="preserve">Si un mes cuentas por parcialidad y otro por crédito, la tendencia no significa nada.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Estatus fijos que se desactualizan. </w:t>
      </w:r>
      <w:r>
        <w:rPr>
          <w:rFonts w:ascii="Calibri" w:cs="Calibri" w:eastAsia="Calibri" w:hAnsi="Calibri"/>
          <w:sz w:val="22"/>
          <w:szCs w:val="22"/>
        </w:rPr>
        <w:t xml:space="preserve">El estado del crédito debe calcularse a partir de sus parcialidades vencidas o pagadas, no capturarse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Revisar tarde. </w:t>
      </w:r>
      <w:r>
        <w:rPr>
          <w:rFonts w:ascii="Calibri" w:cs="Calibri" w:eastAsia="Calibri" w:hAnsi="Calibri"/>
          <w:sz w:val="22"/>
          <w:szCs w:val="22"/>
        </w:rPr>
        <w:t xml:space="preserve">Un reporte mensual llega cuando la mora ya envejeció; combina seguimiento diario o semanal con la revisión mensual.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 medir a los gestores. </w:t>
      </w:r>
      <w:r>
        <w:rPr>
          <w:rFonts w:ascii="Calibri" w:cs="Calibri" w:eastAsia="Calibri" w:hAnsi="Calibri"/>
          <w:sz w:val="22"/>
          <w:szCs w:val="22"/>
        </w:rPr>
        <w:t xml:space="preserve">La cobranza por gestor muestra dónde hay buenas prácticas y dónde falta apoyo.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Datos en varios archivos. </w:t>
      </w:r>
      <w:r>
        <w:rPr>
          <w:rFonts w:ascii="Calibri" w:cs="Calibri" w:eastAsia="Calibri" w:hAnsi="Calibri"/>
          <w:sz w:val="22"/>
          <w:szCs w:val="22"/>
        </w:rPr>
        <w:t xml:space="preserve">Conciliar hojas de cálculo de cobranza, bancos y caja consume tiempo y genera diferencias entre lo que dice cada área.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6. Checklist para empezar esta semana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Definir por escrito cartera vigente, vencida y días de atraso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Elegir la fecha de corte mensual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Calcular IMOR y PAR a 30 y 90 días con la información actual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Armar la distribución de cartera vencida por rangos de atraso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Medir cobranza por gestor del último mes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Definir umbrales de alerta con dirección y cobranza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Asignar responsable y frecuencia para cada indicador del tablero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☐  Revisar qué indicadores hoy se calculan a mano y cuáles se podrían automatizar</w:t>
      </w:r>
    </w:p>
    <w:p>
      <w:pPr>
        <w:keepNext/>
        <w:pBdr>
          <w:left w:val="single" w:color="1F3A5F" w:sz="24" w:space="8"/>
        </w:pBdr>
        <w:shd w:fill="EEF2F7" w:color="auto" w:val="clear"/>
        <w:spacing w:after="100" w:before="400"/>
      </w:pPr>
      <w:r>
        <w:rPr>
          <w:rFonts w:ascii="Calibri" w:cs="Calibri" w:eastAsia="Calibri" w:hAnsi="Calibri"/>
          <w:b/>
          <w:bCs/>
          <w:color w:val="1F3A5F"/>
          <w:sz w:val="28"/>
          <w:szCs w:val="28"/>
        </w:rPr>
        <w:t xml:space="preserve">¿Y si los indicadores se calcularan solos?</w:t>
      </w:r>
    </w:p>
    <w:p>
      <w:pPr>
        <w:keepNext/>
        <w:pBdr>
          <w:left w:val="single" w:color="1F3A5F" w:sz="24" w:space="8"/>
        </w:pBdr>
        <w:shd w:fill="EEF2F7" w:color="auto" w:val="clear"/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El módulo Core Bancario de Evidence ERP calcula el estado de cada crédito en tiempo real a partir de sus parcialidades vencidas o pagadas, y lo refleja en reportes listos para gestión: cartera vencida, flujo de efectivo, historial de pagos, cobranza por gestor y cartera total. Además, cobranza, bancos, caja chica y contabilidad viven en el mismo sistema, lo que reduce conciliaciones manuales.</w:t>
      </w:r>
    </w:p>
    <w:p>
      <w:pPr>
        <w:pBdr>
          <w:left w:val="single" w:color="1F3A5F" w:sz="24" w:space="8"/>
        </w:pBdr>
        <w:shd w:fill="EEF2F7" w:color="auto" w:val="clear"/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Solicita una demo: </w:t>
      </w:r>
      <w:hyperlink r:id="rIdDemoLink" w:history="1">
        <w:r>
          <w:rPr>
            <w:rFonts w:ascii="Calibri" w:cs="Calibri" w:eastAsia="Calibri" w:hAnsi="Calibri"/>
            <w:b/>
            <w:bCs/>
            <w:color w:val="0563C1"/>
            <w:u w:val="single"/>
            <w:sz w:val="21"/>
            <w:szCs w:val="21"/>
          </w:rPr>
          <w:t>evidencetec.com/core-bancario</w:t>
        </w:r>
      </w:hyperlink>
    </w:p>
    <w:sectPr>
      <w:headerReference w:type="default" r:id="rId7"/>
      <w:footerReference w:type="default" r:id="rId8"/>
      <w:pgSz w:w="12240" w:h="15840" w:orient="portrait"/>
      <w:pgMar w:top="12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7"/>
        <w:szCs w:val="17"/>
      </w:rPr>
      <w:t xml:space="preserve">Guía de referencia  ·  Página </w:t>
    </w:r>
    <w:r>
      <w:rPr>
        <w:rFonts w:ascii="Calibri" w:cs="Calibri" w:eastAsia="Calibri" w:hAnsi="Calibri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7"/>
        <w:szCs w:val="17"/>
      </w:rPr>
      <w:t xml:space="preserve">Indicadores de cartera para financieras  |  Evidence ERP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DemoLink" Type="http://schemas.openxmlformats.org/officeDocument/2006/relationships/hyperlink" Target="https://evidencetec.com/core-bancario?utm_source=guia-indicadores-cartera&amp;utm_medium=documento&amp;utm_campaign=recursos-conocimiento#formulario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2026-09-24T16:15:01.129Z</dcterms:created>
  <dcterms:modified xsi:type="dcterms:W3CDTF">2026-09-24T16:15:01.139Z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